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9C" w:rsidRDefault="00C36D9C" w:rsidP="00C36D9C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А</w:t>
      </w:r>
      <w:r w:rsidRPr="00285DD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ДМИНИСТРАЦИЯ ПЕРВОМАЙСКОГО РАЙОНА</w:t>
      </w:r>
    </w:p>
    <w:p w:rsidR="00C36D9C" w:rsidRPr="00285DD2" w:rsidRDefault="00C36D9C" w:rsidP="00C36D9C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C36D9C" w:rsidRDefault="00C36D9C" w:rsidP="00C36D9C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85DD2">
        <w:rPr>
          <w:rFonts w:ascii="Times New Roman" w:hAnsi="Times New Roman" w:cs="Times New Roman"/>
          <w:color w:val="000000" w:themeColor="text1"/>
          <w:sz w:val="32"/>
          <w:szCs w:val="32"/>
        </w:rPr>
        <w:t>РАСПОРЯЖЕНИЕ</w:t>
      </w:r>
    </w:p>
    <w:p w:rsidR="00C36D9C" w:rsidRPr="00B24475" w:rsidRDefault="00145464" w:rsidP="00F51A34">
      <w:pPr>
        <w:pStyle w:val="3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01.11.2021</w:t>
      </w:r>
      <w:r w:rsidR="00F51A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571</w:t>
      </w:r>
      <w:r w:rsidR="00F51A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ра</w:t>
      </w:r>
    </w:p>
    <w:p w:rsidR="00F51A34" w:rsidRDefault="00F51A34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с. Первомайское</w:t>
      </w:r>
    </w:p>
    <w:p w:rsidR="00F51A34" w:rsidRDefault="00F51A34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6D9C" w:rsidRDefault="00681C62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одобрении прогноза социально-экономического развития муниципального образования «П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F4135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8761F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</w:p>
    <w:p w:rsidR="00B24475" w:rsidRDefault="00B24475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4475" w:rsidRDefault="00B24475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018C" w:rsidRPr="006B395F" w:rsidRDefault="005C018C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1C62" w:rsidRPr="00681C62" w:rsidRDefault="00681C62" w:rsidP="00F51A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 Администраци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Первомайского района от 07 июля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2016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681C62" w:rsidRPr="00681C62" w:rsidRDefault="00681C62" w:rsidP="00681C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Одобрить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муниципального образования «Первомайский район» 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F4135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1F41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</w:t>
      </w:r>
      <w:r w:rsidR="00CC5CE0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распоряжению.</w:t>
      </w:r>
    </w:p>
    <w:p w:rsidR="00681C62" w:rsidRPr="00681C62" w:rsidRDefault="008504B0" w:rsidP="00681C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Направить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одобренный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муниципального образования «Первомайский район» 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F4135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1F41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Думу Первомайского района.</w:t>
      </w:r>
    </w:p>
    <w:p w:rsidR="00681C62" w:rsidRPr="00681C62" w:rsidRDefault="008504B0" w:rsidP="00681C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азместить</w:t>
      </w:r>
      <w:proofErr w:type="gramEnd"/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распоряжение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Администрации Первомайского района (http://pmr.tomsk.ru/).</w:t>
      </w:r>
    </w:p>
    <w:p w:rsidR="000E71C6" w:rsidRDefault="00B24475" w:rsidP="00C36D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24475" w:rsidRDefault="00B24475" w:rsidP="00C36D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C018C" w:rsidRPr="006B395F" w:rsidRDefault="005C018C" w:rsidP="00C36D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6D9C" w:rsidRDefault="00C6445D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И.о. </w:t>
      </w:r>
      <w:r w:rsidR="0061565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>лав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Первомайского района                                                      </w:t>
      </w:r>
      <w:r w:rsidR="00C36D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Петроченко</w:t>
      </w:r>
      <w:proofErr w:type="spellEnd"/>
    </w:p>
    <w:p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20"/>
        </w:rPr>
      </w:pPr>
    </w:p>
    <w:p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51A34" w:rsidRDefault="00F51A34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36D9C" w:rsidRPr="00B24475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К.С. Павловская</w:t>
      </w:r>
    </w:p>
    <w:p w:rsidR="00CC5CE0" w:rsidRDefault="00DC290A" w:rsidP="005C018C">
      <w:pPr>
        <w:spacing w:after="0" w:line="240" w:lineRule="auto"/>
        <w:sectPr w:rsidR="00CC5CE0" w:rsidSect="005C018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8(38245)2 17 47</w:t>
      </w:r>
    </w:p>
    <w:tbl>
      <w:tblPr>
        <w:tblW w:w="14885" w:type="dxa"/>
        <w:jc w:val="center"/>
        <w:tblLayout w:type="fixed"/>
        <w:tblLook w:val="04A0"/>
      </w:tblPr>
      <w:tblGrid>
        <w:gridCol w:w="2567"/>
        <w:gridCol w:w="12318"/>
      </w:tblGrid>
      <w:tr w:rsidR="00681C62" w:rsidRPr="00681C62" w:rsidTr="00FC3B21">
        <w:trPr>
          <w:trHeight w:val="312"/>
          <w:jc w:val="center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C62" w:rsidRPr="00681C62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  <w:r w:rsidR="005C018C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Приложение</w:t>
            </w:r>
          </w:p>
          <w:p w:rsidR="00655B93" w:rsidRP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к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распоряжению </w:t>
            </w:r>
          </w:p>
          <w:p w:rsidR="00655B93" w:rsidRP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Первомайского</w:t>
            </w:r>
            <w:proofErr w:type="gramEnd"/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681C62" w:rsidRP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района </w:t>
            </w:r>
            <w:proofErr w:type="gramStart"/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</w:t>
            </w:r>
            <w:proofErr w:type="gramEnd"/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№ 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</w:t>
            </w:r>
          </w:p>
          <w:p w:rsidR="00681C62" w:rsidRPr="00681C62" w:rsidRDefault="00681C62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AF3B58" w:rsidRPr="00065803" w:rsidRDefault="00AF3B58" w:rsidP="00CC5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885" w:type="dxa"/>
        <w:tblLayout w:type="fixed"/>
        <w:tblLook w:val="04A0"/>
      </w:tblPr>
      <w:tblGrid>
        <w:gridCol w:w="3261"/>
        <w:gridCol w:w="1134"/>
        <w:gridCol w:w="960"/>
        <w:gridCol w:w="960"/>
        <w:gridCol w:w="960"/>
        <w:gridCol w:w="947"/>
        <w:gridCol w:w="851"/>
        <w:gridCol w:w="999"/>
        <w:gridCol w:w="971"/>
        <w:gridCol w:w="851"/>
        <w:gridCol w:w="978"/>
        <w:gridCol w:w="971"/>
        <w:gridCol w:w="851"/>
        <w:gridCol w:w="899"/>
      </w:tblGrid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Показатели прогноза социально-экономического развития муниципального образования Первомайский район на 2022-2024 годы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вариант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 Промышленное производство (BCDE)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959,3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108,8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отгрузки - РАЗДЕЛ B: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122,1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РАЗДЕЛ B: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110,4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- 08 Добыча прочих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</w:t>
            </w:r>
            <w:r w:rsidR="00E216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рузки - 08 Добыча прочих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110,3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- 08 Добыча прочих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618,0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648,1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687,9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706,9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777,6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отгрузки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111,3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108,4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381,6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Индекс-дефлятор </w:t>
            </w:r>
            <w:proofErr w:type="spell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отрузки</w:t>
            </w:r>
            <w:proofErr w:type="spell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</w:tr>
      <w:tr w:rsidR="00E3707E" w:rsidRPr="007A2CA5" w:rsidTr="007A2CA5">
        <w:trPr>
          <w:trHeight w:val="15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396,0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Индекс-дефлятор </w:t>
            </w:r>
            <w:proofErr w:type="spell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отрузки</w:t>
            </w:r>
            <w:proofErr w:type="spell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112,3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152,6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27,5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 Сельское хозяйство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648,1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725,8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768,2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885,9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111,4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206,9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106,5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483,2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к предыдущему году в </w:t>
            </w: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110,6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Индекс-дефлятор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 Транспорт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359,8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Плотность автомобильных дорог общего пользования 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года; км путей на 10000 кв</w:t>
            </w: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территории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года;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</w:tr>
      <w:tr w:rsidR="00E3707E" w:rsidRPr="007A2CA5" w:rsidTr="007A2CA5">
        <w:trPr>
          <w:trHeight w:val="124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4. Производство важнейших видов продукции в натуральном выражении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Валовой сбор зерна (в весе после доработки)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15,2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Валовой сбор семян масличных культур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Валовой сбор картофеля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Валовой сбор овощей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Скот и птица на убой (в живом весе)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Яйца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Древесина необработанная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куб.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</w:tr>
      <w:tr w:rsidR="007A2CA5" w:rsidRPr="007A2CA5" w:rsidTr="007A2CA5">
        <w:trPr>
          <w:trHeight w:val="158"/>
        </w:trPr>
        <w:tc>
          <w:tcPr>
            <w:tcW w:w="1559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CA5" w:rsidRPr="007A2CA5" w:rsidRDefault="007A2CA5" w:rsidP="007A2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Строительство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кв. м. в общей площади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жилых домов, построенных населением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 Инвестиции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554,2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406,1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650,0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688,5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695,4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710,4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730,0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772,5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799,7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779,0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834,5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883,1   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68,3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69,4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152,3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100,5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101,6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103,2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100,5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105,3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106,1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101,2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102,3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103,4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105,6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105,1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105,3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105,9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105,5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106,1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105,6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106,8   </w:t>
            </w:r>
          </w:p>
        </w:tc>
      </w:tr>
      <w:tr w:rsidR="00E3707E" w:rsidRPr="007A2CA5" w:rsidTr="007A2CA5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511,2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317,4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502,5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371,0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531,2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537,5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367,9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574,4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594,8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316,3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627,2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667,6   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301,4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58,8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150,6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70,1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100,4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101,0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102,5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104,3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81,5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103,4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105,1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105,6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105,1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105,3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105,9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105,5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106,1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105,6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106,8   </w:t>
            </w:r>
          </w:p>
        </w:tc>
      </w:tr>
      <w:tr w:rsidR="00E3707E" w:rsidRPr="007A2CA5" w:rsidTr="007A2CA5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Распределение инвестиций в основной капитал по источникам финансирования (без субъектов малого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511,2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314,0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497,1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367,0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525,5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531,7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364,0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568,3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588,4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313,0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620,5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660,5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87,8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39,4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53,6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49,8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71,5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80,3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50,6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79,3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85,4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51,1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84,3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90,7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</w:t>
            </w: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    423,4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274,6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443,5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317,2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454,0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451,4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313,4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489,0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503,0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261,9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536,2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569,8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Кредиты банков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392,5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148,8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310,4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174,3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308,9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303,8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167,9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342,0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353,5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118,2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387,0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418,3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кредиты иностранных банков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Заемные средства других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30,9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125,8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133,1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142,9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145,1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147,6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145,5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147,0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149,5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143,7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149,2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151,5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6,3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82,2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84,0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90,1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91,2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92,4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91,3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92,1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93,5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90,3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93,2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94,4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16,8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37,4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42,0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45,3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46,3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47,6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46,7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47,3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48,3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46,9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48,5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49,5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6,2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7,1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7,6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7,6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7,6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7,7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6,5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7,5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7,6   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 Торговля и услуги населению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1315,6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1407,9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1497,9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1573,3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потребительских цен на продукцию общественного питания за период с начала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Распределение оборота розничной торговли по формам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 торгующих организаций и индивидуальных предпринимателей, осуществляющих деятельность вне рынка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1368,6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1407,5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1456,9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1530,7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1553,3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1654,8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Продажа на розничных рынках и ярмарках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Оборот розничной торговли по торговым сетям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593,3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770,1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Оборот розничной торговли по торговым сетям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от оборота розничной торговли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45,3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Структура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3707E" w:rsidRPr="007A2CA5" w:rsidTr="007A2CA5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Пищевые продукты, включая напитки, и табачные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47,2</w:t>
            </w:r>
          </w:p>
        </w:tc>
      </w:tr>
      <w:tr w:rsidR="00E3707E" w:rsidRPr="007A2CA5" w:rsidTr="007A2CA5">
        <w:trPr>
          <w:trHeight w:val="12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145,7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</w:t>
            </w: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ых ценах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Индекс-дефлятор объема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</w:tr>
      <w:tr w:rsidR="00E3707E" w:rsidRPr="007A2CA5" w:rsidTr="007A2CA5">
        <w:trPr>
          <w:trHeight w:val="270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7. Малое и среднее предпринимательство, включая </w:t>
            </w:r>
            <w:proofErr w:type="spellStart"/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микропредприятия</w:t>
            </w:r>
            <w:proofErr w:type="spellEnd"/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малых и средних предприятий, включая </w:t>
            </w:r>
            <w:proofErr w:type="spell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микропредприятия</w:t>
            </w:r>
            <w:proofErr w:type="spell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399,0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405,0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407,0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405,0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410,0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412,0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406,0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411,0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413,0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407,0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412,0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414,0   </w:t>
            </w:r>
          </w:p>
        </w:tc>
      </w:tr>
      <w:tr w:rsidR="00E3707E" w:rsidRPr="007A2CA5" w:rsidTr="007A2CA5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микропредприятия</w:t>
            </w:r>
            <w:proofErr w:type="spell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2,0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1,7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1,8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1,9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2,0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1,9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2,0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2,0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2,1   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Оборот малых и средних предприятий, включая </w:t>
            </w:r>
            <w:proofErr w:type="spell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млрд. руб.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1,6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1,6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1,7   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8. Финансы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прибыльных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Сальдированный финансовый результат (прибыль минус убыток)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-25,4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-19,6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-21,8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-19,4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-1,6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9. Население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коэффициент рождаемости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коэффициент смертности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умерших на 1000 человек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</w:t>
            </w:r>
          </w:p>
        </w:tc>
      </w:tr>
      <w:tr w:rsidR="00E3707E" w:rsidRPr="007A2CA5" w:rsidTr="007A2CA5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1000 человек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</w:tr>
      <w:tr w:rsidR="00E3707E" w:rsidRPr="007A2CA5" w:rsidTr="007A2CA5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Миграционный прирост (убыль)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E3707E" w:rsidRPr="007A2CA5" w:rsidTr="007A2CA5">
        <w:trPr>
          <w:trHeight w:val="255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707E" w:rsidRPr="007A2CA5" w:rsidRDefault="00E3707E" w:rsidP="00E3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A2C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10. Труд и занятость</w:t>
            </w:r>
          </w:p>
        </w:tc>
      </w:tr>
      <w:tr w:rsidR="00053F8C" w:rsidRPr="007A2CA5" w:rsidTr="009B6471">
        <w:trPr>
          <w:trHeight w:val="53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proofErr w:type="gramStart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30 524,3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32 691,7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34 326,3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35 802,3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36 248,6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36 729,1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37 592,4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38 604,7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39 300,2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39 472,1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41 114,0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42 051,2</w:t>
            </w:r>
          </w:p>
        </w:tc>
      </w:tr>
      <w:tr w:rsidR="00053F8C" w:rsidRPr="007A2CA5" w:rsidTr="009B6471">
        <w:trPr>
          <w:trHeight w:val="4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</w:tr>
      <w:tr w:rsidR="00053F8C" w:rsidRPr="007A2CA5" w:rsidTr="001A4094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Уровень зарегистрированной безработицы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053F8C" w:rsidRPr="007A2CA5" w:rsidTr="001A4094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053F8C" w:rsidRPr="007A2CA5" w:rsidTr="001A4094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Фонд заработной платы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Start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 xml:space="preserve">уб.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1 201,1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1 314,8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1 380,5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1 439,9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1 457,9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1 477,2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1 511,9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1 552,6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1 580,6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1 587,5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1 653,5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1 691,2</w:t>
            </w:r>
          </w:p>
        </w:tc>
      </w:tr>
      <w:tr w:rsidR="00053F8C" w:rsidRPr="007A2CA5" w:rsidTr="001A4094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Темп роста фонда заработной платы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F8C" w:rsidRPr="00053F8C" w:rsidRDefault="00053F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F8C" w:rsidRPr="00053F8C" w:rsidRDefault="00053F8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F8C"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</w:tr>
    </w:tbl>
    <w:p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FC3B21" w:rsidSect="005C018C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7A2CA5" w:rsidRPr="00053F8C" w:rsidRDefault="007A2CA5" w:rsidP="007A2CA5">
      <w:pPr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A2CA5" w:rsidRPr="00053F8C" w:rsidRDefault="007A2CA5" w:rsidP="007A2CA5">
      <w:pPr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t>к прогнозу социально-экономического развития</w:t>
      </w:r>
    </w:p>
    <w:p w:rsidR="007A2CA5" w:rsidRPr="00053F8C" w:rsidRDefault="007A2CA5" w:rsidP="007A2CA5">
      <w:pPr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t>муниципального образования Первомайский район</w:t>
      </w:r>
    </w:p>
    <w:p w:rsidR="007A2CA5" w:rsidRPr="00053F8C" w:rsidRDefault="007A2CA5" w:rsidP="007A2CA5">
      <w:pPr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t>на 2022-2024 годы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Первомайского района на среднесрочный период 2020-2024 годов разработан в соответствии с действующей нормативной правовой базой: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Бюджетным кодексом Российской Федерации;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Федеральным законом от 28 июня 2014 года № 172-ФЗ «О стратегическом планировании в Российской Федерации»;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Законом Томской области от 12 марта 2015 года № 24-03 «О стратегическом планировании в Томской области»;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Постановлением Администрации Томской области от 05.05.2016 № 155а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Порядка разработки прогноза социально-экономического развития Томской области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на среднесрочный период»;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Постановлением Администрации Первомайского района от 07.07.2016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2CA5">
        <w:rPr>
          <w:rFonts w:ascii="Times New Roman" w:hAnsi="Times New Roman" w:cs="Times New Roman"/>
          <w:b/>
          <w:sz w:val="24"/>
          <w:szCs w:val="24"/>
        </w:rPr>
        <w:t>I. Базовый период (2019 – 2021 годы)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B06D96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D96">
        <w:rPr>
          <w:rFonts w:ascii="Times New Roman" w:hAnsi="Times New Roman" w:cs="Times New Roman"/>
          <w:b/>
          <w:sz w:val="24"/>
          <w:szCs w:val="24"/>
        </w:rPr>
        <w:t>Общая оценка социально-экономической ситуации в районе.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Оценка исполнения прогноза социально-экономического развития Первомайского района на 2020 год.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По данным 2020 года в реальном секторе экономики района осуществляют хозяйственную деятельность 180 </w:t>
      </w:r>
      <w:r>
        <w:rPr>
          <w:rFonts w:ascii="Times New Roman" w:hAnsi="Times New Roman" w:cs="Times New Roman"/>
          <w:sz w:val="24"/>
          <w:szCs w:val="24"/>
        </w:rPr>
        <w:t>юридических лиц</w:t>
      </w:r>
      <w:r w:rsidRPr="007A2CA5">
        <w:rPr>
          <w:rFonts w:ascii="Times New Roman" w:hAnsi="Times New Roman" w:cs="Times New Roman"/>
          <w:sz w:val="24"/>
          <w:szCs w:val="24"/>
        </w:rPr>
        <w:t>, 293 индивидуальных предпринимателей.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Экономика Первомайского района основывается на лесной промышленности и сельском хозяйстве.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 результатам анализа социально-экономического развития Первомайского района за 2020 год наблюдаются положительные изменения в сравнении с 2019 годом по следующим показателям: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общий объем отгруженной продукции собственного производства, выполненных работ и услуг собственными силами по «чистым» видам экономической деятельности по крупным и средним организациям за январь-декабрь 2020 года крупными и средними предприятиями по данным статистики составил 1801,3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(темп роста составил 135,8%).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объем отгруженных товаров собственного производства, выполненных работ и услуг собственными силами по «чистым видам» деятельности по кругу крупных и средних организаций (итого по разделам C, D,E) составил 120,5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с темпов роста 156,9% у уровню 2019 года;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произведено молока 283,2 кг на душу населения района – темп роста составил 128,5% к уровню 2019 года;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оборот розничной торговли (без субъектов малого предпринимательства) составил 447374,2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(рост 118%);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среднесписочная численность работников (без внешних совместителей) крупных и средних предприятий по «чистым» видам экономической деятельности в ноябре 2020 года составлял 2458 чел. – это на 1,3% к соответствующему месяцу предыдущего года.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Негативные изменения наблюдаются по таким показателям как: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 xml:space="preserve">- число малых и средних предприятий,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 xml:space="preserve">включая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сократился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на 4 ед. и составил 405 ед.;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сальдированный финансовый результат деятельности организаций по итогам 2020 года составил -46316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уб.;</w:t>
      </w:r>
    </w:p>
    <w:p w:rsid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численность населения сократилась на 91  чел., в том числе естественная убыль -84 чел., миграционное снижение -7 чел.</w:t>
      </w:r>
    </w:p>
    <w:p w:rsidR="00B06D96" w:rsidRDefault="00B06D96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06D96" w:rsidRPr="00B06D96" w:rsidRDefault="00B06D96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D96">
        <w:rPr>
          <w:rFonts w:ascii="Times New Roman" w:hAnsi="Times New Roman" w:cs="Times New Roman"/>
          <w:b/>
          <w:sz w:val="24"/>
          <w:szCs w:val="24"/>
        </w:rPr>
        <w:t>Сравнение показателей прогноза на 2021-2023 годы с прогнозом на 2022-2024 годы</w:t>
      </w:r>
    </w:p>
    <w:p w:rsidR="000E6DBD" w:rsidRDefault="00B06D96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Наибольшее отклонение фактических результатов социально-экономического развития Первомайского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прогнозируемых наблюдается</w:t>
      </w:r>
      <w:r w:rsidR="000E6DBD">
        <w:rPr>
          <w:rFonts w:ascii="Times New Roman" w:hAnsi="Times New Roman" w:cs="Times New Roman"/>
          <w:sz w:val="24"/>
          <w:szCs w:val="24"/>
        </w:rPr>
        <w:t>:</w:t>
      </w:r>
    </w:p>
    <w:p w:rsidR="000E6DBD" w:rsidRDefault="000E6DBD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06D96">
        <w:rPr>
          <w:rFonts w:ascii="Times New Roman" w:hAnsi="Times New Roman" w:cs="Times New Roman"/>
          <w:sz w:val="24"/>
          <w:szCs w:val="24"/>
        </w:rPr>
        <w:t xml:space="preserve"> в строке «</w:t>
      </w:r>
      <w:r w:rsidR="00B06D96" w:rsidRPr="00B06D96">
        <w:rPr>
          <w:rFonts w:ascii="Times New Roman" w:hAnsi="Times New Roman" w:cs="Times New Roman"/>
          <w:sz w:val="24"/>
          <w:szCs w:val="24"/>
        </w:rPr>
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</w:t>
      </w:r>
      <w:r w:rsidR="00B06D96">
        <w:rPr>
          <w:rFonts w:ascii="Times New Roman" w:hAnsi="Times New Roman" w:cs="Times New Roman"/>
          <w:sz w:val="24"/>
          <w:szCs w:val="24"/>
        </w:rPr>
        <w:t>» подраздела «Обрабатывающие производства»</w:t>
      </w:r>
      <w:r>
        <w:rPr>
          <w:rFonts w:ascii="Times New Roman" w:hAnsi="Times New Roman" w:cs="Times New Roman"/>
          <w:sz w:val="24"/>
          <w:szCs w:val="24"/>
        </w:rPr>
        <w:t>, раздела «Промышленное производство (</w:t>
      </w:r>
      <w:r>
        <w:rPr>
          <w:rFonts w:ascii="Times New Roman" w:hAnsi="Times New Roman" w:cs="Times New Roman"/>
          <w:sz w:val="24"/>
          <w:szCs w:val="24"/>
          <w:lang w:val="en-US"/>
        </w:rPr>
        <w:t>BCDE</w:t>
      </w:r>
      <w:r w:rsidRPr="000E6DB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». Отклонение составило +33% от плана, такой темп роста связан с ростом цен на пиломатериалы;</w:t>
      </w:r>
    </w:p>
    <w:p w:rsidR="000743CD" w:rsidRDefault="000E6DBD" w:rsidP="000743CD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в строке «Ввод в действие жилых домов» перевыполнение плана составило 22,2%. Соответственно показатель «Объем работ, выполненных по виду экономической деятельности «Строительство» (Раздел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E6DB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 также увеличился, отклонение от плановых показателей на 2020 год составило +46%. Рост данного показателя связан с увеличением строительства индивидуальных жилых домов, так в 2020 году был построен и введен в эксплуатацию бюджетн</w:t>
      </w:r>
      <w:r w:rsidR="000743CD">
        <w:rPr>
          <w:rFonts w:ascii="Times New Roman" w:hAnsi="Times New Roman" w:cs="Times New Roman"/>
          <w:sz w:val="24"/>
          <w:szCs w:val="24"/>
        </w:rPr>
        <w:t>ый дом для специалистов-медиков.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B06D96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D96">
        <w:rPr>
          <w:rFonts w:ascii="Times New Roman" w:hAnsi="Times New Roman" w:cs="Times New Roman"/>
          <w:b/>
          <w:sz w:val="24"/>
          <w:szCs w:val="24"/>
        </w:rPr>
        <w:t>Промышленное производство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На территории Первомайского района осуществляют деятельность два крупных лесозаготовительных предприятия –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Чулымлес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Чичкаюльский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ЛПХ».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Предприятиями лесопромышленного комплекса за 12 месяцев 2020 года заготовлено 1231,2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уб.м. древесины, рост составил 102,4%.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2020 году объем отгруженных товаров обрабатывающих производств по данным статистики вырос на 85,8% по сравнению с 2019 годом, основной рост наблюдается по виду деятельности «обработка древесины и производство изделий из дерева и пробки» (темп роста 188,2%).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конце 2019 года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. Комсомольск открылись лесоперерабатывающие предприятия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Модон-Эксп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и ООО «Комсомольск».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 итогам 2020 года достигнуты следующие результаты деятельности в сельском хозяйстве: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произведено мяса 2523 тонны (рост к уровню прошлого года 104,9%);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произведено молока 4654 тонны (рост к уровню прошлого года 141,2%)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наличие КРС на предприятиях 5739 голов (рост к уровню прошлого года 113,8%)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наличие свиней на предприятиях 9232 головы (рост к уровню прошлого года 110%)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2020 году в Первомайском районе число сельскохозяйственных организаций, имеющих посев, осталось на прежнем уровне п</w:t>
      </w:r>
      <w:r w:rsidR="000743CD">
        <w:rPr>
          <w:rFonts w:ascii="Times New Roman" w:hAnsi="Times New Roman" w:cs="Times New Roman"/>
          <w:sz w:val="24"/>
          <w:szCs w:val="24"/>
        </w:rPr>
        <w:t>о</w:t>
      </w:r>
      <w:r w:rsidRPr="007A2CA5">
        <w:rPr>
          <w:rFonts w:ascii="Times New Roman" w:hAnsi="Times New Roman" w:cs="Times New Roman"/>
          <w:sz w:val="24"/>
          <w:szCs w:val="24"/>
        </w:rPr>
        <w:t xml:space="preserve"> сравнению с 2019 годом, число КФХ и ИП, имеющих посев, увеличилось на 8% по сравнению с аналогичным периодом 2019 года.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Посевные площади в хозяйствах всех категорий в 2020 году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уменьшились по сравнению с 2019 годом на 3,3% посевные площади пшеницы в хозяйствах всех категорий также уменьшились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на 19,2%.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Количество личных подсобных хозяйств  на 01.01.2021 год составило 7318. В личных хозяйствах населения поголовье КРС составляет 2102 головы, в т.ч. 902 коровы. Удельный вес коров в хозяйствах населения составляет 42,9 % от общего поголовья КРС.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2020 году началась модернизация и техническое переоснащение производства животноводческой фермы в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, в 2021 году уже введен в эксплуатацию коровник на 200 голов КРС.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2021 году планируется увеличение производства продукции сельского хозяйства до 579,9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359,8 км и в 2020 году не изменится.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настоящее время в Первомайском районе действует 3 муниципальных маршрута «Первомайское – Улу-Юл», «Первомайское – Малиновка» и «Первомайское – Орехово», услуги по перевозке оказывает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Асиновское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АТП».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Строительство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целом по району за январь-декабрь 2020 г. введено в действие 33 квартиры.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Общая площадь жилых домов, введенных в действие в 2020 году составляет 3026 кв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, из них 2880 кв.м.  индивидуальное строительство.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Темп роста объема работ, выполненных по виду деятельности «Строительство» в 2020 году составил 154,9% к уровню 2019 года.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2020 году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. Первомайском построен бюджетный дом для медицинских работников.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ведет строительство цеха осеменения/ожидания.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текущем 2021 году сдано в эксплуатацию здание фермы в д.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предприятием ООО КХ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Куендат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Объем инвестиций в основной капитал по полному кругу предприятий за 2020 год составил 406,1 млн. рублей (рост 73,2%). По данным статистики объем инвестиций в основной капитал организаций (без субъектов малого и среднего предпринимательства) составил 314058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структуре инвестиций в основной капитал по источникам финансирования преобладает доля привлеченных средств.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2020 году начинающие фермеры получили поддержку в сумме 14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– это: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- ГКФХ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Кибисова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Наталья Александровна, получила грант 5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на разведение КРС молочного направления в с.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Сергеево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. Общая стоимость проекта составляет 5,6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Наталья планирует производить 385 тонн молока в год к 2024 году.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- ГКФХ Попов Михаил Васильевич получил грант 5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на развитие фермы мясного направления. В этом году он уже приобрел фронтальный погрузчик для заготовки кормов. В планах приобретение 40 нетелей породы герефорд;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- готовится к запуску цех по переработке молока в с.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Сергеево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– проект реализует кооператив «Крестьянский»;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 xml:space="preserve">- кооператив «Век» в с.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Новомариинка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в этом году удостоен золотой медали на всероссийской агропромышленной выставке «Золотая осень - 2020» в номинации «Лучшая семейная животноводческая ферма» за высокие показатели в производстве и переработке продукции животноводства.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В текущем году ожидается реализация не менее 30 проектов в рамках проекта по сокращению уровня бедности путем заключения социального контракта на развитие собственного дела на общую сумму 7500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Контракты заключаются в Центре социальной защиты населения. В 2020 году такую поддержку получили 50 предпринимателей.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Поддержку стартующего бизнеса в этом году получат не менее 2 предпринимателей, сумма проектов составит не менее 1200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уб., в 2020 году поддержку получили 3 предпринимателя на общую сумму 1000 тыс.руб.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2020 году на развитие промышленного рыболовства 2 предпринимателя получили субсидии на приобретение орудий лова, лодочным моторов и маломерных судов на сумму 800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Торговля и услуги населению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Первомайском районе действует более 180 магазинов, где трудятся более 610 человек.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Оборот розничной торговли в районе растет, и в 2020 году составил 1204,9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уб., (по крупным и средним предприятиям (по данным статистики) составил 447374,2 тыс. рублей., индекс физического объема к январю-декабрю 2019 года составил 118%).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2021 году продолжится рост оборота розничной торговли, рост составит 103,4% к уровню 2020 года.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Оборот общественного питания по итогам 2020 года снизился на 34,9% и составил 5,2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уб., снижение обусловлено приостановлением деятельности предприятий общественного питания в связи с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антиковидными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мерами.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текущем году прогнозируется увеличение уровня оборота общественного питания до уровня 2019 года с темпом роста 145,2%.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 xml:space="preserve">Малое и среднее предпринимательство, включая </w:t>
      </w:r>
      <w:proofErr w:type="spellStart"/>
      <w:r w:rsidRPr="000743CD">
        <w:rPr>
          <w:rFonts w:ascii="Times New Roman" w:hAnsi="Times New Roman" w:cs="Times New Roman"/>
          <w:b/>
          <w:sz w:val="24"/>
          <w:szCs w:val="24"/>
        </w:rPr>
        <w:t>микропредприятия</w:t>
      </w:r>
      <w:proofErr w:type="spell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 данным 2020 года на территории района действует 405 субъектов малого и среднего предпринимательства, в том числе 293 индивидуальных предприниматель.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настоящее время в сфере малого и среднего бизнеса на территории района занято 1960 человек.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Малый бизнес в основном развивается в сельском и лесном хозяйстве, в сфере торговли и общественного питания, в сфере услуг (бытовые услуги, транспортные услуги и др.) и в промышленном секторе (пищевая промышленность, деревообработка, прочие производства).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2020 году наблюдается отрицательная динамика по количеству индивидуальных предпринимателей – 5 ед., однако количество СМП ЮЛ увеличилось на 4 ед.</w:t>
      </w:r>
    </w:p>
    <w:p w:rsid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2021 году ожидается увеличение количества субъектов малого и среднего предпринимательства. Предпринимательскую деятельность стимулирует муниципальная программа «Развитие малого и среднего предпринимательства в Первомайском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на 2021-2023 годы», в которую включено мероприятие «Поддержка стартующего бизнеса».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текущем году Первомайский район продолжает участие в проекте по снижению уровня бедности. В рамках данного проекта малоимущие граждане могут заключить социальный контракт на развитие бизнеса, условием которого является обязательная регистрация в качестве предпринимателя. В 2020 году государственную социальную помощь получили 50 предпринимателей.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К концу 2021 года число субъектов малого и среднего предпринимательства составит 407 ед., численность работни</w:t>
      </w:r>
      <w:r w:rsidR="000743CD">
        <w:rPr>
          <w:rFonts w:ascii="Times New Roman" w:hAnsi="Times New Roman" w:cs="Times New Roman"/>
          <w:sz w:val="24"/>
          <w:szCs w:val="24"/>
        </w:rPr>
        <w:t>ков составит 1,8</w:t>
      </w:r>
      <w:r w:rsidRPr="007A2CA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ел.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Финансы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Прибыль прибыльных организаций в 2019 году составила 53,4 млн.р.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За январь-ноябрь 2020 года сальдированный финансовый результат (прибыль минус убыток) организаций составил -31,6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рублей убытков.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Доля убыточных предприятий составила 50%.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>Отрицательный результат сложился по разделу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 «Сельское, лесное хозяйство, охота, рыболовство и рыбоводство».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>На 1 декабря 2020 года суммарная задолженность по обязательствам составила 1395987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уб., удельный вес просроченной задолженности в общем объеме задолженности составил 0,1%.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>На 01.01.2020 кредиторская задолженность составила 759858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уб., дебиторская задолженность – 169323 тыс.руб., кредиторская задолженность превышает дебиторскую на 590535 тыс.руб.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 xml:space="preserve">В 2021 году рост прибыль прибыльных организаций по сравнению с 2020 годом увеличится и составит 55,1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, убытки уменьшатся. Таким образом сальдированный финансовый результат составит -25,4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Население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Демографическая ситуация в 2020 году в Первомайском   районе характеризовалась продолжающимся процессом естественной убыли населения, обусловленным превышением числа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умерших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над числом родившихся.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2020 году по отношению к 2019 году рождаемость снизилась на 14,1% (-30 человек), смертность увеличилась на 7,7% (умерло на 19 человек больше, чем в 2019 году). Естественная убыль населения составила -49 человек.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 итогам 2020 года по сравнению с аналогичным периодом 2019 года наблюдается миграционная убыль, которая составила -19 человек (прибыло 417 человек, убыло 436 человек).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2021 году численность населения продолжит снижаться и составит 16,3 тыс. человек.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743CD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743CD">
        <w:rPr>
          <w:rFonts w:ascii="Times New Roman" w:hAnsi="Times New Roman" w:cs="Times New Roman"/>
          <w:b/>
          <w:sz w:val="24"/>
          <w:szCs w:val="24"/>
        </w:rPr>
        <w:t>Труд и занятость населения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Ситуация на рынке труда по итогам 2020 года оценивалась как нестабильная.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Средняя начисленная заработная плата в расчете на 1 работника в 2020 году в крупных и средних предприятиях и организациях составила 32691,7 рублей и в сравнении с 2019 годом увеличилась на 7,1%.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К концу декабря 2020 года в органах государственной службы занятости состояло на учёте 609 человек не занятых трудовой деятельностью. Из них 590 человек имели статус безработного. Уровень регистрируемой безработицы составил 5,78 % от экономически активного населения. Такой рост безработицы связан со сложной экономической ситуацией по причине распространения новой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инфекции.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2021 году в районе разработан комплекс мероприятий (план) восстановления (до уровня 2019 года) численности занятого населения к IV кварталу 2021 года, благодаря которому численность занятого населения в районе увеличится на 950 человек и составит не менее 10164 чел., численность безработных составит не более 236 чел.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2020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роста производительности труда, повышению минимального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, а также реализации социальной политики предприятий, принятия обязательств, предусмотренных коллективными договорами и соглашениями.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Рост средней заработной платы работников бюджетных учреждений в 2019 году обеспечивался реализацией государственной социальной политики в рамках Указа </w:t>
      </w:r>
      <w:r w:rsidRPr="007A2CA5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РФ от 07.05.2012 № 597 «О мероприятиях по реализации государственной социальной политики», а также ежегодной индексацией на уровень прогнозируемой инфляции и продолжится в прогнозируемом периоде. Рост средней заработной платы в 2021 году ожидается на уровне 105% и составит </w:t>
      </w:r>
      <w:r w:rsidR="000743CD">
        <w:rPr>
          <w:rFonts w:ascii="Times New Roman" w:hAnsi="Times New Roman" w:cs="Times New Roman"/>
          <w:sz w:val="24"/>
          <w:szCs w:val="24"/>
        </w:rPr>
        <w:t>34326,3</w:t>
      </w:r>
      <w:r w:rsidRPr="007A2CA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Расчет фонда платы труда работников организаций (далее – ФОТ) произведен с учетом фактически сложившихся данных о размере ФОТ по данным статистики, планируемых изменений в отраслях, представленных на территории муниципального образования Первомайский район, бюджетной сфере и ожидаемых инвестиционных проектов, а также с учетом поступления налога на доходы физических лиц.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ФОТ в 2020 году составил 1314,8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уб., темп роста по сравнению с 2019 годом составил 109,5%.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ФОТ в 2021 году ожидается в размере 13</w:t>
      </w:r>
      <w:r w:rsidR="00053F8C">
        <w:rPr>
          <w:rFonts w:ascii="Times New Roman" w:hAnsi="Times New Roman" w:cs="Times New Roman"/>
          <w:sz w:val="24"/>
          <w:szCs w:val="24"/>
        </w:rPr>
        <w:t>80</w:t>
      </w:r>
      <w:r w:rsidRPr="007A2CA5">
        <w:rPr>
          <w:rFonts w:ascii="Times New Roman" w:hAnsi="Times New Roman" w:cs="Times New Roman"/>
          <w:sz w:val="24"/>
          <w:szCs w:val="24"/>
        </w:rPr>
        <w:t>,</w:t>
      </w:r>
      <w:r w:rsidR="00053F8C">
        <w:rPr>
          <w:rFonts w:ascii="Times New Roman" w:hAnsi="Times New Roman" w:cs="Times New Roman"/>
          <w:sz w:val="24"/>
          <w:szCs w:val="24"/>
        </w:rPr>
        <w:t>5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Темп роста составит 10</w:t>
      </w:r>
      <w:r w:rsidR="00053F8C">
        <w:rPr>
          <w:rFonts w:ascii="Times New Roman" w:hAnsi="Times New Roman" w:cs="Times New Roman"/>
          <w:sz w:val="24"/>
          <w:szCs w:val="24"/>
        </w:rPr>
        <w:t>5</w:t>
      </w:r>
      <w:r w:rsidRPr="007A2CA5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53F8C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t>II. Прогнозный период (2021-2023 годы)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53F8C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t>Общая прогнозная оценка социально-экономической ситуации в районе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Прогнозе заложены параметры тарифной политики, нацеленной на обеспечение стабильных условий для экономического роста и ограничивающей динамику регулируемых тарифов на услуги инфраструктурных компаний уровнем прогнозной инфляции.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Наряду с факторами внешних ограничений, на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социально-экономическое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развитие Первомайского района оказывают влияние и внутренние ограничения. Основными факторами, ограничивающими деятельность предприятий и организаций базовых отраслей экономики, являются: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– недостаточный спрос на продукцию (услуги);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– неопределенность экономической ситуации;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– финансовые ограничения, в том числе высокие процентные ставки по кредитам, высокие транспортные расходы, высокая арендная плата, высокая стоимость материалов, конструкций и изделий.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Внутренняя социально-экономическая политика в среднесрочной перспективе будет направлена на достижение национальных целей развития и выполнения других приоритетных задач, поставленных в майском Указе Президента Российской Федерации.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среднесрочной перспективе деятельность муниципального образования Первомайский район будет направлена на достижение целей Стратегии развития Первомайского района до 2030 года.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Основным механизмом реализации данных целей будет выполнение мероприятий муниципальных программ.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Прогноз разработан в составе трех основных сценариев развития: консервативного, базового и целевого.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Консервативный сценарий (вариант 1) характеризуется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умеренными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темпами роста экономики на основе модернизации ведущих секторов экономики при сохранении структурных барьеров в развитии человеческого капитала, транспортной инфраструктуры.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Базовый сценарий (вариант 2) характеризуется дополнительными импульсами инновационного развития и усилением инвестиционной направленности экономического роста. Возрастает роль конкурентоспособного сектора высокотехнологичных производств и экономики знаний.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Целевой сценарий (вариант 3) характеризуется форсированными темпами роста экономики региона, повышенной инвестиционной активностью, достижением целевых показателей национальных проектов.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Базовый вариант Прогноза принимается за основу при расчете доходов бюджета Первомайского района.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целом в среднесрочной перспективе на 2022–2024 годы прогнозируется позитивная динамика социально-экономического развития Первомайского района.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053F8C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3F8C">
        <w:rPr>
          <w:rFonts w:ascii="Times New Roman" w:hAnsi="Times New Roman" w:cs="Times New Roman"/>
          <w:b/>
          <w:sz w:val="24"/>
          <w:szCs w:val="24"/>
        </w:rPr>
        <w:t>Промышленное производство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Обороты производства крупных лесопромышленных предприятий Первомайского район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Чулымлес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и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Чичкаюльский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ЛПХ» в прогнозном периоде увеличатся за счет реализации новых проектов в сфере лесной промышленности: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Модон-Эксп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», ООО «Комсомольск»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. Комсомольск,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Визант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» и ООО «А-лес» в п. Улу-Юл планируют расширение производства и увеличение численности рабочих мест до 2024 года.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Объем отгруженных товаров собственного производства составит: по консервативному варианту от </w:t>
      </w:r>
      <w:r w:rsidR="00053F8C">
        <w:rPr>
          <w:rFonts w:ascii="Times New Roman" w:hAnsi="Times New Roman" w:cs="Times New Roman"/>
          <w:sz w:val="24"/>
          <w:szCs w:val="24"/>
        </w:rPr>
        <w:t>719,4</w:t>
      </w:r>
      <w:r w:rsidRPr="007A2C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в 2022 году до </w:t>
      </w:r>
      <w:r w:rsidR="00053F8C">
        <w:rPr>
          <w:rFonts w:ascii="Times New Roman" w:hAnsi="Times New Roman" w:cs="Times New Roman"/>
          <w:sz w:val="24"/>
          <w:szCs w:val="24"/>
        </w:rPr>
        <w:t>794,6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2024 году; по базовому от </w:t>
      </w:r>
      <w:r w:rsidR="00053F8C">
        <w:rPr>
          <w:rFonts w:ascii="Times New Roman" w:hAnsi="Times New Roman" w:cs="Times New Roman"/>
          <w:sz w:val="24"/>
          <w:szCs w:val="24"/>
        </w:rPr>
        <w:t>740,9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2022 году до </w:t>
      </w:r>
      <w:r w:rsidR="00053F8C">
        <w:rPr>
          <w:rFonts w:ascii="Times New Roman" w:hAnsi="Times New Roman" w:cs="Times New Roman"/>
          <w:sz w:val="24"/>
          <w:szCs w:val="24"/>
        </w:rPr>
        <w:t>871,7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2024 году, по целевому варианту от </w:t>
      </w:r>
      <w:r w:rsidR="00053F8C">
        <w:rPr>
          <w:rFonts w:ascii="Times New Roman" w:hAnsi="Times New Roman" w:cs="Times New Roman"/>
          <w:sz w:val="24"/>
          <w:szCs w:val="24"/>
        </w:rPr>
        <w:t>761,6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2022 году до </w:t>
      </w:r>
      <w:r w:rsidR="00053F8C">
        <w:rPr>
          <w:rFonts w:ascii="Times New Roman" w:hAnsi="Times New Roman" w:cs="Times New Roman"/>
          <w:sz w:val="24"/>
          <w:szCs w:val="24"/>
        </w:rPr>
        <w:t>959,3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2024 году.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По разделу обрабатывающие производства составит: по консервативному варианту от 581,1 млн.р. в 2022 году до 638,2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в 2024 году; по базовому от 601,2 млн.руб. в 2022 году до 706,9 млн.руб. в 2024 году, по целевому варианту от  618,0 млн.руб. в 2021 году до 777,6 млн.руб. в 2024 году.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районе успешно реализуют свои инвестиционные проекты такие инвесторы как: ООО «АПК Первомайский», ООО «Березовская ферма»,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», СПОК «Держава», ООО КХ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Куендат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районе продолжится создание условий для эффективного развития сельского хозяйства, повышение конкурентоспособности отрасли.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>Основными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приоритеты: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1. стимулирование инвестиционной активности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сельхозтоваропроизводителей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. Посредством поддержки инвестиционных проектов за счет областных конкурсов,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2. 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планах развития сельского хозяйства в районе: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- модернизация и техническое переоснащение производства животноводческой фермы в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. В 2021 году уже введен в эксплуатацию коровник на 200 голов КРС;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- строительство цеха по убою скота на 10 голов в смену кооперативом «Век»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овомариинка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- завершение строительства цеха по переработке молока и производству молочной продукции кооперативом «Крестьянский» до 5 тысяч литров в сутки в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ергеево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2022-2024 годах – прогнозируется постепенный рост производства сельскохозяйственной продукции на предприятиях: по консервативному варианту от 620,3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до 717,0 млн.руб., по базовому варианту прогноза от 648,1 млн.руб. до 805,9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и по целевому от 665,9 млн.руб. до 885,9 млн.руб. соответственно.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359,8 км, строительство новых дорог не планируется.</w:t>
      </w:r>
    </w:p>
    <w:p w:rsid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>Продолжится действие 3 муниципальных маршрутов «Первомайское – Улу-Юл», «Первомайское – Малиновка» и «Первомайское – Орехово».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Строительство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 прогнозном периоде планируется увеличение объемов работ по строительству индивидуальных жилых домов.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Планируется ежегодно вводить в действие жилых домов не менее 2 тыс.кв.м.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Участие в существующих и новых жилищных программах по обеспечению доступным и комфортным жильем граждан продолжится. В 2021 году начнется строительство 5 жилых домов по договору найма жилого помещения, в последующие годы будет построено еще 30 домов.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Объем работ выполненных по виду экономической деятельности «Строительство» составит по консервативному варианту от 235,7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до 258,5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, по базовому варианту прогноза от 349,2 млн.руб. до 403,9 млн.руб., по целевому от 356,1 млн.руб. до 439,0 млн.руб. за период с 2022 по 2024 годы соответственно.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Выгодное географическое положение (близость к областному центру), развитая транспортная инфраструктура, древесных и дикорастущих ресурсов, наличие свободных производственных площадей с необходимой инфраструктурой, наличие разведанных запасов общераспространенных полезных ископаемых,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</w:t>
      </w:r>
      <w:proofErr w:type="spellStart"/>
      <w:proofErr w:type="gramStart"/>
      <w:r w:rsidRPr="007A2CA5">
        <w:rPr>
          <w:rFonts w:ascii="Times New Roman" w:hAnsi="Times New Roman" w:cs="Times New Roman"/>
          <w:sz w:val="24"/>
          <w:szCs w:val="24"/>
        </w:rPr>
        <w:t>бизнес-проектов</w:t>
      </w:r>
      <w:proofErr w:type="spellEnd"/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>С 2021 года ожидается увеличение объема инвестиций умеренными темпами, благодаря реализации проектов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» по строительству завода по переработке льна, ООО КХ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Куендат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 продолжит инвестировать в проект по строительству фермы в д.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 xml:space="preserve">, также на территории Первомайского района продолжится реализация проекта ООО «Сибирский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биоуголь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по переработке древесных отходов, ООО «А-лес» начал планирует реализацию проекта по модернизации производства переработки древесных отходов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,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Визант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планирует расширение производства переработки древесины.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планах строительство котельной в п. Улу-Юл 105,9 млн. руб., строительство школы в с. Первомайском на сумму 421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уб., строительство дома культуры в с. Березовка на сумму 60 млн.руб.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Объем инвестиций по полному кругу предприятий в прогнозном периоде на 2022-2024 годы составит по консервативному варианту от 688,5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до 779,0 млн.руб., по базовому от 695,4 млн.руб. до 834,5 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, по целевому от 710,4 млн.руб. до 883,1 млн.руб. соответственно.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Торговля и услуги населению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прогнозируемом периоде планируется рост потребления непродовольственных товаров, предполагается рост и развитие рынка платных услуг населению, что связано с увеличением числа СМП в сфере потребительского рынка.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Оборот розничной торговли по консервативному варианту прогноза составит от 1364,4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в 2022 году до 1485,2 млн.руб. в 2024 году; по базовому варианту от 1407,9 млн.руб. в 2022 году до 1596,8 млн.руб. в 2024 году, по целевому варианту от 1447,6 млн.руб. до 1700,0 млн.руб.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Малое и среднее предпринимательство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>Прогноз развития малого бизнеса Первомайского района на среднесрочную перспективу (на 202</w:t>
      </w:r>
      <w:r w:rsidR="00862FC2">
        <w:rPr>
          <w:rFonts w:ascii="Times New Roman" w:hAnsi="Times New Roman" w:cs="Times New Roman"/>
          <w:sz w:val="24"/>
          <w:szCs w:val="24"/>
        </w:rPr>
        <w:t>2</w:t>
      </w:r>
      <w:r w:rsidRPr="007A2CA5">
        <w:rPr>
          <w:rFonts w:ascii="Times New Roman" w:hAnsi="Times New Roman" w:cs="Times New Roman"/>
          <w:sz w:val="24"/>
          <w:szCs w:val="24"/>
        </w:rPr>
        <w:t xml:space="preserve">-2024 годы) учитывает ряд мер, направленных на поддержку и развитие малого предпринимательства, как на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федеральном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, так и на региональном и муниципальном уровнях.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 xml:space="preserve">В рамках программы «Развитие малого и среднего предпринимательства в Первомайском районе на 2021-2023 годы» содержатся мероприятия направленные на популяризацию и развитие предпринимательской деятельности, в том числе финансовая поддержка стартующего бизнеса. </w:t>
      </w:r>
    </w:p>
    <w:p w:rsid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Будет продолжена практика заключения социальных контрактов на развитие собственного дела, благодаря которому предприниматели могут получить государственную социальную помощь до 250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</w:t>
      </w:r>
    </w:p>
    <w:p w:rsidR="00862FC2" w:rsidRDefault="00862FC2" w:rsidP="00862FC2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планируется оказание финансовой поддержки предпринимателей, осуществляющих деятельность в сфере промышленной рыбной ловли, сумма субсидий составит 0,8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>В прогнозном периоде ожидается рост числа СМП: по консервативному варианту от 405 ед. в 2022 году до 407 ед. в 2024 году, по базовому варианту от 410 ед. в 2021 году до 412 ед. в 2023 году, по целевому варианту от 412 ед. в 2022 году до 414 ед. в 2024 году.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>Среднесписочная численность работников малых и средних предприятий увеличится по сравнению с 2020 годом и вернется к уровню 2019 года: от 1,8 тыс. чел. до 1,9 тыс. чел. по консервативному варианту, на уровне от 1,9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ел. до 2,0 тыс. чел. по базовому варианту, по целевому от 2,0 тыс.чел. до 2,1 тыс.чел.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ab/>
        <w:t>Оборот малых предприятий составит по консервативному варианту от 1,4 млрд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в 2022 году до 1,5 млрд.руб. в 2024 году, по базовому варианту от 1,5 млрд.руб. в 2022 году до 1,6 млрд.руб. в 2024 году, по целевому от 1,5 млрд.руб. в 2022 году до 1,7 млрд.руб. в 2024 году.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Финансы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Прибыль прибыльных организаций продолжит расти. Убытки имеют тенденцию к сокращению.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прогнозном периоде прибыль составит: по консервативному варианту от 5,2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в 2022 году до 15,3 млн.руб. в 2024 году, по базовому варианту от 56,9 млн.руб. в 2022 году до 59,1 млн.руб. в 2024 году, по целевому варианту от 60,2 млн.руб. в 2022 году до 79 млн.руб. в 2024 году.</w:t>
      </w:r>
    </w:p>
    <w:p w:rsidR="00862FC2" w:rsidRDefault="00862FC2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Население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Демографическая ситуация в районе в прогнозном периоде будет развиваться под влиянием сложившихся тенденций рождаемости, смертности и миграции населения. В 2022-2024 годах процесс естественной убыли сохранится, но темпы снижения останутся умеренными.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на 01.01.2021 года составляет 16,3 тыс. человек.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Последнее время имеется тенденция к сокращению уровня миграции, темпы миграционного снижения существенно снизились.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lastRenderedPageBreak/>
        <w:t>В перспективе в целевом варианте прогноза ожидается рост численности населения района и к 2024 года она составит 16,4 тыс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ел., в базовом варианте численность населения не изменится, а по консервативному сценарию численность будет сокращаться и к 2024 году составит 16,2 тыс.чел.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2CA5" w:rsidRPr="00862FC2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2FC2">
        <w:rPr>
          <w:rFonts w:ascii="Times New Roman" w:hAnsi="Times New Roman" w:cs="Times New Roman"/>
          <w:b/>
          <w:sz w:val="24"/>
          <w:szCs w:val="24"/>
        </w:rPr>
        <w:t>Труд и занятость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Номинальная начисленная заработная плата имеет тенденцию к росту, благодаря индексации работникам крупных коммерческих предприятий и бюджетной сферы на уровень прогнозируемой инфляции, повышению МРОТ, за счет роста производительности труда.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прогнозном периоде на 2022-2024 годы составит: по консервативному варианту от 3</w:t>
      </w:r>
      <w:r w:rsidR="00862FC2">
        <w:rPr>
          <w:rFonts w:ascii="Times New Roman" w:hAnsi="Times New Roman" w:cs="Times New Roman"/>
          <w:sz w:val="24"/>
          <w:szCs w:val="24"/>
        </w:rPr>
        <w:t>5802,3</w:t>
      </w:r>
      <w:r w:rsidRPr="007A2CA5">
        <w:rPr>
          <w:rFonts w:ascii="Times New Roman" w:hAnsi="Times New Roman" w:cs="Times New Roman"/>
          <w:sz w:val="24"/>
          <w:szCs w:val="24"/>
        </w:rPr>
        <w:t xml:space="preserve"> руб. в 2022 году до </w:t>
      </w:r>
      <w:r w:rsidR="00FB2589">
        <w:rPr>
          <w:rFonts w:ascii="Times New Roman" w:hAnsi="Times New Roman" w:cs="Times New Roman"/>
          <w:sz w:val="24"/>
          <w:szCs w:val="24"/>
        </w:rPr>
        <w:t>39472,1</w:t>
      </w:r>
      <w:r w:rsidRPr="007A2CA5">
        <w:rPr>
          <w:rFonts w:ascii="Times New Roman" w:hAnsi="Times New Roman" w:cs="Times New Roman"/>
          <w:sz w:val="24"/>
          <w:szCs w:val="24"/>
        </w:rPr>
        <w:t xml:space="preserve">0 руб. в 2024 году, по базовому варианту от </w:t>
      </w:r>
      <w:r w:rsidR="00FB2589">
        <w:rPr>
          <w:rFonts w:ascii="Times New Roman" w:hAnsi="Times New Roman" w:cs="Times New Roman"/>
          <w:sz w:val="24"/>
          <w:szCs w:val="24"/>
        </w:rPr>
        <w:t>36248,6</w:t>
      </w:r>
      <w:r w:rsidRPr="007A2CA5">
        <w:rPr>
          <w:rFonts w:ascii="Times New Roman" w:hAnsi="Times New Roman" w:cs="Times New Roman"/>
          <w:sz w:val="24"/>
          <w:szCs w:val="24"/>
        </w:rPr>
        <w:t xml:space="preserve"> руб. в 2022 году до </w:t>
      </w:r>
      <w:r w:rsidR="00FB2589">
        <w:rPr>
          <w:rFonts w:ascii="Times New Roman" w:hAnsi="Times New Roman" w:cs="Times New Roman"/>
          <w:sz w:val="24"/>
          <w:szCs w:val="24"/>
        </w:rPr>
        <w:t>41114,0</w:t>
      </w:r>
      <w:r w:rsidRPr="007A2CA5">
        <w:rPr>
          <w:rFonts w:ascii="Times New Roman" w:hAnsi="Times New Roman" w:cs="Times New Roman"/>
          <w:sz w:val="24"/>
          <w:szCs w:val="24"/>
        </w:rPr>
        <w:t xml:space="preserve"> руб. в 2024 году, по целевому варианту от </w:t>
      </w:r>
      <w:r w:rsidR="00FB2589">
        <w:rPr>
          <w:rFonts w:ascii="Times New Roman" w:hAnsi="Times New Roman" w:cs="Times New Roman"/>
          <w:sz w:val="24"/>
          <w:szCs w:val="24"/>
        </w:rPr>
        <w:t>36729,1 тыс</w:t>
      </w:r>
      <w:proofErr w:type="gramStart"/>
      <w:r w:rsidR="00FB258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B2589">
        <w:rPr>
          <w:rFonts w:ascii="Times New Roman" w:hAnsi="Times New Roman" w:cs="Times New Roman"/>
          <w:sz w:val="24"/>
          <w:szCs w:val="24"/>
        </w:rPr>
        <w:t>уб. в 2022 году до 42051,2</w:t>
      </w:r>
      <w:r w:rsidRPr="007A2CA5">
        <w:rPr>
          <w:rFonts w:ascii="Times New Roman" w:hAnsi="Times New Roman" w:cs="Times New Roman"/>
          <w:sz w:val="24"/>
          <w:szCs w:val="24"/>
        </w:rPr>
        <w:t xml:space="preserve"> тыс.руб. в 2024 году.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 xml:space="preserve">В прогнозном периоде ожидается сокращение уровня безработицы по сравнению с 2020 годом благодаря мерам, принимаемым в Первомайском районе для повышения уровня занятости населения: в период 2022 по 2024 годы по консервативному варианту уровень безработицы составит </w:t>
      </w:r>
      <w:r w:rsidR="00FB2589">
        <w:rPr>
          <w:rFonts w:ascii="Times New Roman" w:hAnsi="Times New Roman" w:cs="Times New Roman"/>
          <w:sz w:val="24"/>
          <w:szCs w:val="24"/>
        </w:rPr>
        <w:t>2,3</w:t>
      </w:r>
      <w:r w:rsidR="0019026E">
        <w:rPr>
          <w:rFonts w:ascii="Times New Roman" w:hAnsi="Times New Roman" w:cs="Times New Roman"/>
          <w:sz w:val="24"/>
          <w:szCs w:val="24"/>
        </w:rPr>
        <w:t>%</w:t>
      </w:r>
      <w:r w:rsidRPr="007A2CA5">
        <w:rPr>
          <w:rFonts w:ascii="Times New Roman" w:hAnsi="Times New Roman" w:cs="Times New Roman"/>
          <w:sz w:val="24"/>
          <w:szCs w:val="24"/>
        </w:rPr>
        <w:t xml:space="preserve">, по базовому от </w:t>
      </w:r>
      <w:r w:rsidR="00FB2589">
        <w:rPr>
          <w:rFonts w:ascii="Times New Roman" w:hAnsi="Times New Roman" w:cs="Times New Roman"/>
          <w:sz w:val="24"/>
          <w:szCs w:val="24"/>
        </w:rPr>
        <w:t>1,6</w:t>
      </w:r>
      <w:r w:rsidRPr="007A2CA5">
        <w:rPr>
          <w:rFonts w:ascii="Times New Roman" w:hAnsi="Times New Roman" w:cs="Times New Roman"/>
          <w:sz w:val="24"/>
          <w:szCs w:val="24"/>
        </w:rPr>
        <w:t>%</w:t>
      </w:r>
      <w:r w:rsidR="0019026E">
        <w:rPr>
          <w:rFonts w:ascii="Times New Roman" w:hAnsi="Times New Roman" w:cs="Times New Roman"/>
          <w:sz w:val="24"/>
          <w:szCs w:val="24"/>
        </w:rPr>
        <w:t>,</w:t>
      </w:r>
      <w:r w:rsidRPr="007A2CA5">
        <w:rPr>
          <w:rFonts w:ascii="Times New Roman" w:hAnsi="Times New Roman" w:cs="Times New Roman"/>
          <w:sz w:val="24"/>
          <w:szCs w:val="24"/>
        </w:rPr>
        <w:t xml:space="preserve"> по целевому от </w:t>
      </w:r>
      <w:r w:rsidR="00FB2589">
        <w:rPr>
          <w:rFonts w:ascii="Times New Roman" w:hAnsi="Times New Roman" w:cs="Times New Roman"/>
          <w:sz w:val="24"/>
          <w:szCs w:val="24"/>
        </w:rPr>
        <w:t>1,5</w:t>
      </w:r>
      <w:r w:rsidRPr="007A2CA5">
        <w:rPr>
          <w:rFonts w:ascii="Times New Roman" w:hAnsi="Times New Roman" w:cs="Times New Roman"/>
          <w:sz w:val="24"/>
          <w:szCs w:val="24"/>
        </w:rPr>
        <w:t xml:space="preserve">%. </w:t>
      </w:r>
      <w:proofErr w:type="gramEnd"/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Число безработных граждан также постепенно сократится по сравнению с 2020 годом и к 2024 году составит: 0,</w:t>
      </w:r>
      <w:r w:rsidR="003E73B8">
        <w:rPr>
          <w:rFonts w:ascii="Times New Roman" w:hAnsi="Times New Roman" w:cs="Times New Roman"/>
          <w:sz w:val="24"/>
          <w:szCs w:val="24"/>
        </w:rPr>
        <w:t>2</w:t>
      </w:r>
      <w:r w:rsidRPr="007A2CA5">
        <w:rPr>
          <w:rFonts w:ascii="Times New Roman" w:hAnsi="Times New Roman" w:cs="Times New Roman"/>
          <w:sz w:val="24"/>
          <w:szCs w:val="24"/>
        </w:rPr>
        <w:t xml:space="preserve"> тыс. человек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о консервативному варианту, 0,</w:t>
      </w:r>
      <w:r w:rsidR="003E73B8">
        <w:rPr>
          <w:rFonts w:ascii="Times New Roman" w:hAnsi="Times New Roman" w:cs="Times New Roman"/>
          <w:sz w:val="24"/>
          <w:szCs w:val="24"/>
        </w:rPr>
        <w:t>1</w:t>
      </w:r>
      <w:r w:rsidRPr="007A2CA5">
        <w:rPr>
          <w:rFonts w:ascii="Times New Roman" w:hAnsi="Times New Roman" w:cs="Times New Roman"/>
          <w:sz w:val="24"/>
          <w:szCs w:val="24"/>
        </w:rPr>
        <w:t xml:space="preserve"> тыс. человек по базовому и целевому вариантам.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A2CA5">
        <w:rPr>
          <w:rFonts w:ascii="Times New Roman" w:hAnsi="Times New Roman" w:cs="Times New Roman"/>
          <w:sz w:val="24"/>
          <w:szCs w:val="24"/>
        </w:rPr>
        <w:t>Расчет фонда заработной платы работников организаций на прогнозный период 2022-2024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2020 году и оценки льгот и вычетов, представленных по уплате налога на доходы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 физических лиц. 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прогнозном периоде предприятием 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Визант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к 2024 году запланировано создание 100 новых рабочих мест в рамках реализации проекта по модернизации лесоперерабатывающего производства.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A2CA5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7A2CA5">
        <w:rPr>
          <w:rFonts w:ascii="Times New Roman" w:hAnsi="Times New Roman" w:cs="Times New Roman"/>
          <w:sz w:val="24"/>
          <w:szCs w:val="24"/>
        </w:rPr>
        <w:t>» планирует создание новых рабочих мест в рамках реализации проекта по строительству льнозавода.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В Первомайском районе проводятся мероприятия по постановке на налоговый учет незаконной предпринимательской деятельности, обособленных подразделений бизнеса и выявлению неформально занятых граждан, за счет чего будут созданы новые рабочие места.</w:t>
      </w:r>
    </w:p>
    <w:p w:rsidR="007A2CA5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>Ежегодно создаются новые рабочие места в рамках конкурсов предпринимательских проектов «Успешных старт» и «Начинающий фермер».</w:t>
      </w:r>
    </w:p>
    <w:p w:rsidR="00681C62" w:rsidRPr="007A2CA5" w:rsidRDefault="007A2CA5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2CA5">
        <w:rPr>
          <w:rFonts w:ascii="Times New Roman" w:hAnsi="Times New Roman" w:cs="Times New Roman"/>
          <w:sz w:val="24"/>
          <w:szCs w:val="24"/>
        </w:rPr>
        <w:t xml:space="preserve">Таким образом фонд заработной платы по полному кругу предприятий и организаций, включая индивидуальных предпринимателей, составит: по консервативному варианту от </w:t>
      </w:r>
      <w:r w:rsidR="003E73B8">
        <w:rPr>
          <w:rFonts w:ascii="Times New Roman" w:hAnsi="Times New Roman" w:cs="Times New Roman"/>
          <w:sz w:val="24"/>
          <w:szCs w:val="24"/>
        </w:rPr>
        <w:t>1439,9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 xml:space="preserve">уб. в 2022 году до </w:t>
      </w:r>
      <w:r w:rsidR="003E73B8">
        <w:rPr>
          <w:rFonts w:ascii="Times New Roman" w:hAnsi="Times New Roman" w:cs="Times New Roman"/>
          <w:sz w:val="24"/>
          <w:szCs w:val="24"/>
        </w:rPr>
        <w:t>1587,5</w:t>
      </w:r>
      <w:r w:rsidRPr="007A2CA5">
        <w:rPr>
          <w:rFonts w:ascii="Times New Roman" w:hAnsi="Times New Roman" w:cs="Times New Roman"/>
          <w:sz w:val="24"/>
          <w:szCs w:val="24"/>
        </w:rPr>
        <w:t xml:space="preserve">  млн.руб. в 2024 году, по базовому варианту от </w:t>
      </w:r>
      <w:r w:rsidR="003E73B8">
        <w:rPr>
          <w:rFonts w:ascii="Times New Roman" w:hAnsi="Times New Roman" w:cs="Times New Roman"/>
          <w:sz w:val="24"/>
          <w:szCs w:val="24"/>
        </w:rPr>
        <w:t>1457,9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2022 году до </w:t>
      </w:r>
      <w:r w:rsidR="003E73B8">
        <w:rPr>
          <w:rFonts w:ascii="Times New Roman" w:hAnsi="Times New Roman" w:cs="Times New Roman"/>
          <w:sz w:val="24"/>
          <w:szCs w:val="24"/>
        </w:rPr>
        <w:t>1653,5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2024 году, по целевому от </w:t>
      </w:r>
      <w:r w:rsidR="003E73B8">
        <w:rPr>
          <w:rFonts w:ascii="Times New Roman" w:hAnsi="Times New Roman" w:cs="Times New Roman"/>
          <w:sz w:val="24"/>
          <w:szCs w:val="24"/>
        </w:rPr>
        <w:t>1477,2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млн.руб. в 2022 году до </w:t>
      </w:r>
      <w:r w:rsidR="003E73B8">
        <w:rPr>
          <w:rFonts w:ascii="Times New Roman" w:hAnsi="Times New Roman" w:cs="Times New Roman"/>
          <w:sz w:val="24"/>
          <w:szCs w:val="24"/>
        </w:rPr>
        <w:t>1691,2</w:t>
      </w:r>
      <w:r w:rsidRPr="007A2CA5">
        <w:rPr>
          <w:rFonts w:ascii="Times New Roman" w:hAnsi="Times New Roman" w:cs="Times New Roman"/>
          <w:sz w:val="24"/>
          <w:szCs w:val="24"/>
        </w:rPr>
        <w:t xml:space="preserve"> млн</w:t>
      </w:r>
      <w:proofErr w:type="gramStart"/>
      <w:r w:rsidRPr="007A2C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A2CA5">
        <w:rPr>
          <w:rFonts w:ascii="Times New Roman" w:hAnsi="Times New Roman" w:cs="Times New Roman"/>
          <w:sz w:val="24"/>
          <w:szCs w:val="24"/>
        </w:rPr>
        <w:t>уб. в 2024 году.</w:t>
      </w:r>
    </w:p>
    <w:sectPr w:rsidR="00681C62" w:rsidRPr="007A2CA5" w:rsidSect="00E3707E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69E" w:rsidRDefault="00E2169E" w:rsidP="00E2169E">
      <w:pPr>
        <w:spacing w:after="0" w:line="240" w:lineRule="auto"/>
      </w:pPr>
      <w:r>
        <w:separator/>
      </w:r>
    </w:p>
  </w:endnote>
  <w:endnote w:type="continuationSeparator" w:id="0">
    <w:p w:rsidR="00E2169E" w:rsidRDefault="00E2169E" w:rsidP="00E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9E" w:rsidRDefault="00E2169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9E" w:rsidRDefault="00E2169E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9E" w:rsidRDefault="00E2169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69E" w:rsidRDefault="00E2169E" w:rsidP="00E2169E">
      <w:pPr>
        <w:spacing w:after="0" w:line="240" w:lineRule="auto"/>
      </w:pPr>
      <w:r>
        <w:separator/>
      </w:r>
    </w:p>
  </w:footnote>
  <w:footnote w:type="continuationSeparator" w:id="0">
    <w:p w:rsidR="00E2169E" w:rsidRDefault="00E2169E" w:rsidP="00E2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9E" w:rsidRDefault="00E2169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6696197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E2169E" w:rsidRDefault="00B3786A">
        <w:pPr>
          <w:pStyle w:val="a9"/>
          <w:jc w:val="center"/>
        </w:pPr>
        <w:r>
          <w:fldChar w:fldCharType="begin"/>
        </w:r>
        <w:r w:rsidR="00E2169E">
          <w:instrText>PAGE   \* MERGEFORMAT</w:instrText>
        </w:r>
        <w:r>
          <w:fldChar w:fldCharType="separate"/>
        </w:r>
        <w:r w:rsidR="00145464">
          <w:rPr>
            <w:noProof/>
          </w:rPr>
          <w:t>2</w:t>
        </w:r>
        <w:r>
          <w:fldChar w:fldCharType="end"/>
        </w:r>
      </w:p>
    </w:sdtContent>
  </w:sdt>
  <w:p w:rsidR="00E2169E" w:rsidRDefault="00E2169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9E" w:rsidRDefault="00E2169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D9C"/>
    <w:rsid w:val="00003B1B"/>
    <w:rsid w:val="00046F17"/>
    <w:rsid w:val="00053F8C"/>
    <w:rsid w:val="00065803"/>
    <w:rsid w:val="000743CD"/>
    <w:rsid w:val="000905F6"/>
    <w:rsid w:val="000E6DBD"/>
    <w:rsid w:val="000E71C6"/>
    <w:rsid w:val="00124E80"/>
    <w:rsid w:val="00145464"/>
    <w:rsid w:val="0019026E"/>
    <w:rsid w:val="001A28D1"/>
    <w:rsid w:val="001F4135"/>
    <w:rsid w:val="00270477"/>
    <w:rsid w:val="002C6701"/>
    <w:rsid w:val="003339AD"/>
    <w:rsid w:val="003E73B8"/>
    <w:rsid w:val="003F50D3"/>
    <w:rsid w:val="00456061"/>
    <w:rsid w:val="005561ED"/>
    <w:rsid w:val="005A019F"/>
    <w:rsid w:val="005C018C"/>
    <w:rsid w:val="00612E80"/>
    <w:rsid w:val="0061565B"/>
    <w:rsid w:val="00655B93"/>
    <w:rsid w:val="00681C62"/>
    <w:rsid w:val="007434D0"/>
    <w:rsid w:val="007A139C"/>
    <w:rsid w:val="007A2CA5"/>
    <w:rsid w:val="008504B0"/>
    <w:rsid w:val="00860E2B"/>
    <w:rsid w:val="00862FC2"/>
    <w:rsid w:val="008761FB"/>
    <w:rsid w:val="008B7F2F"/>
    <w:rsid w:val="009B6471"/>
    <w:rsid w:val="00A56D71"/>
    <w:rsid w:val="00A65D00"/>
    <w:rsid w:val="00AF3B58"/>
    <w:rsid w:val="00B06D96"/>
    <w:rsid w:val="00B154D9"/>
    <w:rsid w:val="00B24475"/>
    <w:rsid w:val="00B3786A"/>
    <w:rsid w:val="00B70D73"/>
    <w:rsid w:val="00B84BFC"/>
    <w:rsid w:val="00BE6664"/>
    <w:rsid w:val="00C36D9C"/>
    <w:rsid w:val="00C6445D"/>
    <w:rsid w:val="00CB7B96"/>
    <w:rsid w:val="00CC5CE0"/>
    <w:rsid w:val="00CD1321"/>
    <w:rsid w:val="00DC290A"/>
    <w:rsid w:val="00E2169E"/>
    <w:rsid w:val="00E23D77"/>
    <w:rsid w:val="00E3707E"/>
    <w:rsid w:val="00EC707B"/>
    <w:rsid w:val="00F0037D"/>
    <w:rsid w:val="00F34435"/>
    <w:rsid w:val="00F51A34"/>
    <w:rsid w:val="00FB2589"/>
    <w:rsid w:val="00FC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uiPriority w:val="99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21</Pages>
  <Words>7370</Words>
  <Characters>42009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bam</dc:creator>
  <cp:lastModifiedBy>Пользователь Windows</cp:lastModifiedBy>
  <cp:revision>6</cp:revision>
  <cp:lastPrinted>2021-11-16T01:34:00Z</cp:lastPrinted>
  <dcterms:created xsi:type="dcterms:W3CDTF">2021-11-15T11:14:00Z</dcterms:created>
  <dcterms:modified xsi:type="dcterms:W3CDTF">2021-11-30T09:13:00Z</dcterms:modified>
</cp:coreProperties>
</file>